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77777777" w:rsidR="00F21F5F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 xml:space="preserve">FIȘA DISCIPLINEI </w:t>
      </w:r>
    </w:p>
    <w:p w14:paraId="41C61987" w14:textId="77777777" w:rsidR="00F21F5F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>Anul universitar 2025/2026</w:t>
      </w:r>
    </w:p>
    <w:p w14:paraId="41C61988" w14:textId="77777777" w:rsidR="00F21F5F" w:rsidRDefault="00F21F5F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F21F5F" w:rsidRDefault="00000000">
      <w:pPr>
        <w:jc w:val="both"/>
        <w:rPr>
          <w:rFonts w:ascii="Arial" w:eastAsia="Arial" w:hAnsi="Arial" w:cs="Arial"/>
          <w:b/>
          <w:lang w:val="ro-RO"/>
        </w:rPr>
      </w:pPr>
      <w:r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Style24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6170"/>
      </w:tblGrid>
      <w:tr w:rsidR="00F21F5F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77777777" w:rsidR="00F21F5F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Universitatea din București</w:t>
            </w:r>
          </w:p>
        </w:tc>
      </w:tr>
      <w:tr w:rsidR="00F21F5F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7777777" w:rsidR="00F21F5F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Ortodoxă „Justinian Patriarhul”</w:t>
            </w:r>
          </w:p>
        </w:tc>
      </w:tr>
      <w:tr w:rsidR="00F21F5F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F21F5F" w:rsidRDefault="00000000">
            <w:pPr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Sistematică, Practică şi Artă Sacră</w:t>
            </w:r>
          </w:p>
        </w:tc>
      </w:tr>
      <w:tr w:rsidR="00F21F5F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Teologie</w:t>
            </w:r>
          </w:p>
        </w:tc>
      </w:tr>
      <w:tr w:rsidR="00F21F5F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Licenţă</w:t>
            </w:r>
            <w:r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F21F5F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Artă Sacră</w:t>
            </w:r>
          </w:p>
        </w:tc>
      </w:tr>
    </w:tbl>
    <w:p w14:paraId="41C6199C" w14:textId="77777777" w:rsidR="00F21F5F" w:rsidRDefault="00F21F5F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F21F5F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Style25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460"/>
        <w:gridCol w:w="810"/>
        <w:gridCol w:w="711"/>
        <w:gridCol w:w="357"/>
        <w:gridCol w:w="2219"/>
        <w:gridCol w:w="545"/>
        <w:gridCol w:w="2188"/>
        <w:gridCol w:w="1107"/>
        <w:gridCol w:w="11"/>
      </w:tblGrid>
      <w:tr w:rsidR="00F21F5F" w14:paraId="41C619A0" w14:textId="77777777">
        <w:trPr>
          <w:jc w:val="center"/>
        </w:trPr>
        <w:tc>
          <w:tcPr>
            <w:tcW w:w="2668" w:type="dxa"/>
            <w:gridSpan w:val="2"/>
          </w:tcPr>
          <w:p w14:paraId="41C6199E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7948" w:type="dxa"/>
            <w:gridSpan w:val="8"/>
          </w:tcPr>
          <w:p w14:paraId="41C6199F" w14:textId="77777777" w:rsidR="00F21F5F" w:rsidRDefault="00000000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Stabilizarea proceselor de degradare (</w:t>
            </w:r>
            <w:r>
              <w:rPr>
                <w:bCs/>
                <w:i/>
                <w:color w:val="000000"/>
                <w:lang w:val="ro-RO"/>
              </w:rPr>
              <w:t>icoană)</w:t>
            </w:r>
          </w:p>
        </w:tc>
      </w:tr>
      <w:tr w:rsidR="00F21F5F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70973B59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 xml:space="preserve">Lect. Univ. </w:t>
            </w:r>
            <w:r w:rsidR="00DF7A1F">
              <w:rPr>
                <w:b/>
                <w:lang w:val="ro-RO"/>
              </w:rPr>
              <w:t>D</w:t>
            </w:r>
            <w:r>
              <w:rPr>
                <w:b/>
                <w:lang w:val="ro-RO"/>
              </w:rPr>
              <w:t>r. Polizu Sultana</w:t>
            </w:r>
            <w:r w:rsidR="00DF7A1F">
              <w:rPr>
                <w:b/>
                <w:lang w:val="ro-RO"/>
              </w:rPr>
              <w:t>-Ruxandra</w:t>
            </w:r>
          </w:p>
        </w:tc>
      </w:tr>
      <w:tr w:rsidR="00F21F5F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2556D44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 xml:space="preserve">Lect. Univ. </w:t>
            </w:r>
            <w:r w:rsidR="00DF7A1F">
              <w:rPr>
                <w:b/>
                <w:lang w:val="ro-RO"/>
              </w:rPr>
              <w:t>D</w:t>
            </w:r>
            <w:r>
              <w:rPr>
                <w:b/>
                <w:lang w:val="ro-RO"/>
              </w:rPr>
              <w:t>r. Polizu Sultana</w:t>
            </w:r>
            <w:r w:rsidR="00DF7A1F">
              <w:rPr>
                <w:b/>
                <w:lang w:val="ro-RO"/>
              </w:rPr>
              <w:t>-Ruxandra</w:t>
            </w:r>
          </w:p>
        </w:tc>
      </w:tr>
      <w:tr w:rsidR="00F21F5F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60" w:type="dxa"/>
          </w:tcPr>
          <w:p w14:paraId="41C619A8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521" w:type="dxa"/>
            <w:gridSpan w:val="2"/>
          </w:tcPr>
          <w:p w14:paraId="41C619A9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2219" w:type="dxa"/>
          </w:tcPr>
          <w:p w14:paraId="41C619AB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5D3EB97D" w14:textId="77777777" w:rsidR="00F21F5F" w:rsidRDefault="00F21F5F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545" w:type="dxa"/>
          </w:tcPr>
          <w:p w14:paraId="41C619AC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C</w:t>
            </w:r>
          </w:p>
        </w:tc>
        <w:tc>
          <w:tcPr>
            <w:tcW w:w="2188" w:type="dxa"/>
          </w:tcPr>
          <w:p w14:paraId="41C619AD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OP</w:t>
            </w:r>
          </w:p>
        </w:tc>
      </w:tr>
    </w:tbl>
    <w:p w14:paraId="41C619B0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F21F5F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Style26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540"/>
        <w:gridCol w:w="1620"/>
        <w:gridCol w:w="540"/>
        <w:gridCol w:w="3335"/>
        <w:gridCol w:w="819"/>
      </w:tblGrid>
      <w:tr w:rsidR="00F21F5F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F21F5F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F21F5F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F21F5F" w14:paraId="41C619C5" w14:textId="77777777">
        <w:trPr>
          <w:trHeight w:val="90"/>
          <w:jc w:val="center"/>
        </w:trPr>
        <w:tc>
          <w:tcPr>
            <w:tcW w:w="9560" w:type="dxa"/>
            <w:gridSpan w:val="5"/>
          </w:tcPr>
          <w:p w14:paraId="41C619C3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F21F5F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F21F5F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F21F5F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F21F5F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</w:tr>
      <w:tr w:rsidR="00F21F5F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5</w:t>
            </w:r>
          </w:p>
        </w:tc>
      </w:tr>
      <w:tr w:rsidR="00F21F5F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78</w:t>
            </w:r>
          </w:p>
        </w:tc>
      </w:tr>
      <w:tr w:rsidR="00F21F5F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</w:t>
            </w:r>
          </w:p>
        </w:tc>
      </w:tr>
    </w:tbl>
    <w:p w14:paraId="41C619DE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F21F5F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2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5"/>
        <w:gridCol w:w="4394"/>
      </w:tblGrid>
      <w:tr w:rsidR="00F21F5F" w14:paraId="41C619E3" w14:textId="77777777">
        <w:trPr>
          <w:jc w:val="center"/>
        </w:trPr>
        <w:tc>
          <w:tcPr>
            <w:tcW w:w="5935" w:type="dxa"/>
          </w:tcPr>
          <w:p w14:paraId="41C619E1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7777777" w:rsidR="00F21F5F" w:rsidRDefault="00F21F5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F21F5F" w14:paraId="41C619E6" w14:textId="77777777">
        <w:trPr>
          <w:jc w:val="center"/>
        </w:trPr>
        <w:tc>
          <w:tcPr>
            <w:tcW w:w="5935" w:type="dxa"/>
          </w:tcPr>
          <w:p w14:paraId="41C619E4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7777777" w:rsidR="00F21F5F" w:rsidRDefault="00F21F5F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77777777" w:rsidR="00F21F5F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Style2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5901"/>
      </w:tblGrid>
      <w:tr w:rsidR="00F21F5F" w14:paraId="41C619EC" w14:textId="77777777">
        <w:trPr>
          <w:jc w:val="center"/>
        </w:trPr>
        <w:tc>
          <w:tcPr>
            <w:tcW w:w="4428" w:type="dxa"/>
          </w:tcPr>
          <w:p w14:paraId="41C619E9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leptop, proiector și suport de curs</w:t>
            </w:r>
          </w:p>
        </w:tc>
      </w:tr>
      <w:tr w:rsidR="00F21F5F" w14:paraId="41C619F1" w14:textId="77777777">
        <w:trPr>
          <w:jc w:val="center"/>
        </w:trPr>
        <w:tc>
          <w:tcPr>
            <w:tcW w:w="4428" w:type="dxa"/>
          </w:tcPr>
          <w:p w14:paraId="41C619ED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șevalete, mese de lucru și aparatură de restaurare </w:t>
            </w:r>
          </w:p>
        </w:tc>
      </w:tr>
    </w:tbl>
    <w:p w14:paraId="41C619F2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77777777" w:rsidR="00F21F5F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41C61A04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77"/>
        <w:gridCol w:w="2668"/>
        <w:gridCol w:w="2976"/>
      </w:tblGrid>
      <w:tr w:rsidR="00F21F5F" w14:paraId="006FD9CB" w14:textId="7777777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ECB15DA" w14:textId="77777777" w:rsidR="00F21F5F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</w:tcPr>
          <w:p w14:paraId="70121300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F21F5F" w14:paraId="14ABB13E" w14:textId="7777777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</w:tcPr>
          <w:p w14:paraId="5E02FEB6" w14:textId="77777777" w:rsidR="00F21F5F" w:rsidRDefault="00F21F5F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33F26E47" w14:textId="77777777" w:rsidR="00F21F5F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767D56C8" w14:textId="77777777" w:rsidR="00F21F5F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773150" w14:textId="77777777" w:rsidR="00F21F5F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F21F5F" w14:paraId="71BCDB34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77777777" w:rsidR="00F21F5F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7777777" w:rsidR="00F21F5F" w:rsidRDefault="00000000">
            <w:pPr>
              <w:rPr>
                <w:lang w:val="ro-RO"/>
              </w:rPr>
            </w:pPr>
            <w:r>
              <w:t>Studentul/absolventul descrie sistematic și aprofundat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7777777" w:rsidR="00F21F5F" w:rsidRDefault="00000000">
            <w:pPr>
              <w:rPr>
                <w:lang w:val="ro-RO"/>
              </w:rPr>
            </w:pPr>
            <w:r>
              <w:t>Studentul/absolventul analizează sistematic teorii și concepte teologice și acceptă dialogul cu privire la o varietate de teme controversate, de pe poziții de toleranță religioasă, identificând fundamente creștine comune mai multor grupuri religioase.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777777" w:rsidR="00F21F5F" w:rsidRDefault="00000000">
            <w:pPr>
              <w:rPr>
                <w:lang w:val="ro-RO"/>
              </w:rPr>
            </w:pPr>
            <w:r>
              <w:t>Studentul/absolventul gândește critic, monitorizează și respectă teorii, doctrine și reglementări canonice, evitând erori doctrinare și acceptă păreri noi în limitele dogmatice și canonice.</w:t>
            </w:r>
          </w:p>
        </w:tc>
      </w:tr>
      <w:tr w:rsidR="00F21F5F" w14:paraId="2AA389A1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F21F5F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R3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F21F5F" w:rsidRDefault="00000000">
            <w:pPr>
              <w:rPr>
                <w:lang w:val="ro-RO"/>
              </w:rPr>
            </w:pPr>
            <w:r>
              <w:t>Absolventul deține informații aprofundate privind evoluția gândirii și a literaturii artei creștine de-a lungul istoriei.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DBCA" w14:textId="77777777" w:rsidR="00F21F5F" w:rsidRDefault="00000000">
            <w:r>
              <w:t>Absolventul utilizează idei și argumente din arta creștină în contexte diverse, completând ori dezvoltând noi direcții ale gândirii teologice și artistice.</w:t>
            </w:r>
          </w:p>
          <w:p w14:paraId="0387F290" w14:textId="77777777" w:rsidR="00F21F5F" w:rsidRDefault="00F21F5F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84A" w14:textId="77777777" w:rsidR="00F21F5F" w:rsidRDefault="00000000">
            <w:pPr>
              <w:rPr>
                <w:lang w:val="ro-RO"/>
              </w:rPr>
            </w:pPr>
            <w:r>
              <w:t>Absolventul comunică argumentat păreri și idei teologice, face sinteze și poate crea concepte noi pe baza informațiilor deținute, având capacitatea de acceptare  a diversității opiniilor și ideilor.</w:t>
            </w:r>
          </w:p>
        </w:tc>
      </w:tr>
      <w:tr w:rsidR="00F21F5F" w14:paraId="7DC086FB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F21F5F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F21F5F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EBA" w14:textId="77777777" w:rsidR="00F21F5F" w:rsidRDefault="00000000">
            <w:r>
              <w:t>Studentul/absolventul justifică propria abordare artistică; Studentul/absolventul pregătește condițiile și suportul tehnic dezvoltării proiectelor artistice;</w:t>
            </w:r>
          </w:p>
          <w:p w14:paraId="6A57C0F2" w14:textId="77777777" w:rsidR="00F21F5F" w:rsidRDefault="00000000">
            <w:pPr>
              <w:rPr>
                <w:lang w:val="ro-RO"/>
              </w:rPr>
            </w:pPr>
            <w: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9F7" w14:textId="77777777" w:rsidR="00F21F5F" w:rsidRDefault="00000000">
            <w: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4CF6169D" w14:textId="77777777" w:rsidR="00F21F5F" w:rsidRDefault="00000000">
            <w:pPr>
              <w:rPr>
                <w:lang w:val="ro-RO"/>
              </w:rPr>
            </w:pPr>
            <w: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F21F5F" w14:paraId="3A452DA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F21F5F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F21F5F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F21F5F" w:rsidRDefault="00000000">
            <w:pPr>
              <w:rPr>
                <w:lang w:val="ro-RO"/>
              </w:rPr>
            </w:pPr>
            <w:r>
              <w:t xml:space="preserve">Studentul/absolventul dezvoltă concepte inovatoare în propria creație. Studentul/absolventul alege materiale ca instrumente/mijloace artistice sau suport </w:t>
            </w:r>
            <w:r>
              <w:lastRenderedPageBreak/>
              <w:t>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4CA7" w14:textId="77777777" w:rsidR="00F21F5F" w:rsidRDefault="00000000">
            <w:pPr>
              <w:rPr>
                <w:lang w:val="ro-RO"/>
              </w:rPr>
            </w:pPr>
            <w:r>
              <w:lastRenderedPageBreak/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F21F5F" w14:paraId="5D19736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F21F5F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F21F5F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F21F5F" w:rsidRDefault="00000000">
            <w:pPr>
              <w:rPr>
                <w:lang w:val="ro-RO"/>
              </w:rPr>
            </w:pPr>
            <w: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F21F5F" w:rsidRDefault="00000000">
            <w:pPr>
              <w:rPr>
                <w:lang w:val="ro-RO"/>
              </w:rPr>
            </w:pPr>
            <w:r>
              <w:t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calificați sau procese specifice de producție.</w:t>
            </w:r>
          </w:p>
        </w:tc>
      </w:tr>
      <w:tr w:rsidR="00F21F5F" w14:paraId="36ACC72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F21F5F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F21F5F" w:rsidRDefault="00000000">
            <w:pPr>
              <w:rPr>
                <w:lang w:val="ro-RO"/>
              </w:rPr>
            </w:pPr>
            <w: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F21F5F" w:rsidRDefault="00000000">
            <w:pPr>
              <w:rPr>
                <w:lang w:val="ro-RO"/>
              </w:rPr>
            </w:pPr>
            <w: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F21F5F" w:rsidRDefault="00000000">
            <w:pPr>
              <w:rPr>
                <w:lang w:val="ro-RO"/>
              </w:rPr>
            </w:pPr>
            <w: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</w:tbl>
    <w:p w14:paraId="72FA4C2A" w14:textId="77777777" w:rsidR="00F21F5F" w:rsidRDefault="00F21F5F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77777777" w:rsidR="00F21F5F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 Conţinuturi</w:t>
      </w:r>
    </w:p>
    <w:p w14:paraId="41C61A12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Style31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1"/>
        <w:gridCol w:w="2396"/>
        <w:gridCol w:w="1857"/>
      </w:tblGrid>
      <w:tr w:rsidR="00F21F5F" w14:paraId="41C61A17" w14:textId="77777777">
        <w:trPr>
          <w:jc w:val="center"/>
        </w:trPr>
        <w:tc>
          <w:tcPr>
            <w:tcW w:w="5651" w:type="dxa"/>
          </w:tcPr>
          <w:p w14:paraId="41C61A13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1C61A14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F21F5F" w:rsidRDefault="00F21F5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F21F5F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77777777" w:rsidR="00F21F5F" w:rsidRDefault="0000000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Patrimoniul cultural național: componente, semnificaţie,</w:t>
            </w:r>
          </w:p>
        </w:tc>
        <w:tc>
          <w:tcPr>
            <w:tcW w:w="2396" w:type="dxa"/>
            <w:vMerge w:val="restart"/>
          </w:tcPr>
          <w:p w14:paraId="21B88CC8" w14:textId="77777777" w:rsidR="00F21F5F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F21F5F" w14:paraId="701964CB" w14:textId="77777777">
        <w:trPr>
          <w:trHeight w:val="310"/>
          <w:jc w:val="center"/>
        </w:trPr>
        <w:tc>
          <w:tcPr>
            <w:tcW w:w="5651" w:type="dxa"/>
          </w:tcPr>
          <w:p w14:paraId="54045E89" w14:textId="77777777" w:rsidR="00F21F5F" w:rsidRDefault="00000000">
            <w:pPr>
              <w:rPr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lastRenderedPageBreak/>
              <w:t>Scurt istoric al conservării și restaurării</w:t>
            </w:r>
          </w:p>
        </w:tc>
        <w:tc>
          <w:tcPr>
            <w:tcW w:w="2396" w:type="dxa"/>
            <w:vMerge/>
          </w:tcPr>
          <w:p w14:paraId="0D0473EE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A94016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ore</w:t>
            </w:r>
          </w:p>
        </w:tc>
      </w:tr>
      <w:tr w:rsidR="00F21F5F" w14:paraId="37AEAA4A" w14:textId="77777777">
        <w:trPr>
          <w:trHeight w:val="310"/>
          <w:jc w:val="center"/>
        </w:trPr>
        <w:tc>
          <w:tcPr>
            <w:tcW w:w="5651" w:type="dxa"/>
          </w:tcPr>
          <w:p w14:paraId="44F901F3" w14:textId="77777777" w:rsidR="00F21F5F" w:rsidRDefault="00000000">
            <w:pPr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Elemente de legislație românească privind bunurile de patrimoniu cultural</w:t>
            </w:r>
          </w:p>
        </w:tc>
        <w:tc>
          <w:tcPr>
            <w:tcW w:w="2396" w:type="dxa"/>
            <w:vMerge/>
          </w:tcPr>
          <w:p w14:paraId="2F8D34DC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3923014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F21F5F" w14:paraId="70F25209" w14:textId="77777777">
        <w:trPr>
          <w:trHeight w:val="310"/>
          <w:jc w:val="center"/>
        </w:trPr>
        <w:tc>
          <w:tcPr>
            <w:tcW w:w="5651" w:type="dxa"/>
          </w:tcPr>
          <w:p w14:paraId="3C97E924" w14:textId="77777777" w:rsidR="00F21F5F" w:rsidRDefault="00000000">
            <w:pPr>
              <w:rPr>
                <w:lang w:val="ro-RO"/>
              </w:rPr>
            </w:pPr>
            <w:r>
              <w:rPr>
                <w:lang w:val="ro-RO"/>
              </w:rPr>
              <w:t>Principalele îndatoriri privind folosirea și întreținerea construcțiilor cu statut de monument</w:t>
            </w:r>
          </w:p>
        </w:tc>
        <w:tc>
          <w:tcPr>
            <w:tcW w:w="2396" w:type="dxa"/>
            <w:vMerge/>
          </w:tcPr>
          <w:p w14:paraId="67A67461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A3B91A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F21F5F" w14:paraId="3FDFAF08" w14:textId="77777777">
        <w:trPr>
          <w:trHeight w:val="310"/>
          <w:jc w:val="center"/>
        </w:trPr>
        <w:tc>
          <w:tcPr>
            <w:tcW w:w="5651" w:type="dxa"/>
          </w:tcPr>
          <w:p w14:paraId="4EEAC2B5" w14:textId="77777777" w:rsidR="00F21F5F" w:rsidRDefault="00000000">
            <w:pPr>
              <w:rPr>
                <w:lang w:val="ro-RO"/>
              </w:rPr>
            </w:pPr>
            <w:r>
              <w:rPr>
                <w:lang w:val="ro-RO"/>
              </w:rPr>
              <w:t>Prevenirea degradărilor monumentelor</w:t>
            </w:r>
          </w:p>
        </w:tc>
        <w:tc>
          <w:tcPr>
            <w:tcW w:w="2396" w:type="dxa"/>
            <w:vMerge/>
          </w:tcPr>
          <w:p w14:paraId="68CA946E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8FA0882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F21F5F" w14:paraId="092B933D" w14:textId="77777777">
        <w:trPr>
          <w:trHeight w:val="90"/>
          <w:jc w:val="center"/>
        </w:trPr>
        <w:tc>
          <w:tcPr>
            <w:tcW w:w="5651" w:type="dxa"/>
          </w:tcPr>
          <w:p w14:paraId="4593D594" w14:textId="77777777" w:rsidR="00F21F5F" w:rsidRDefault="00000000">
            <w:pPr>
              <w:rPr>
                <w:lang w:val="ro-RO"/>
              </w:rPr>
            </w:pPr>
            <w:r>
              <w:rPr>
                <w:lang w:val="ro-RO"/>
              </w:rPr>
              <w:t>Cauzele degradării clădirilor monument</w:t>
            </w:r>
          </w:p>
        </w:tc>
        <w:tc>
          <w:tcPr>
            <w:tcW w:w="2396" w:type="dxa"/>
            <w:vMerge/>
          </w:tcPr>
          <w:p w14:paraId="1D97F43B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5DD84E5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F21F5F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77777777" w:rsidR="00F21F5F" w:rsidRDefault="0000000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lang w:val="ro-RO"/>
              </w:rPr>
              <w:t>Recomandări privind protecția Patrimoniului Cultural</w:t>
            </w:r>
          </w:p>
        </w:tc>
        <w:tc>
          <w:tcPr>
            <w:tcW w:w="2396" w:type="dxa"/>
            <w:vMerge/>
          </w:tcPr>
          <w:p w14:paraId="41C61A19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ore</w:t>
            </w:r>
          </w:p>
        </w:tc>
      </w:tr>
      <w:tr w:rsidR="00F21F5F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F21F5F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0263312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Baldini, U., </w:t>
            </w:r>
            <w:r>
              <w:rPr>
                <w:i/>
                <w:lang w:val="pt-BR"/>
              </w:rPr>
              <w:t>Teoria del restauro e unità di metodologia,</w:t>
            </w:r>
            <w:r>
              <w:rPr>
                <w:lang w:val="pt-BR"/>
              </w:rPr>
              <w:t xml:space="preserve"> volumul I-II, Nardini Editori, Firenze, 1997</w:t>
            </w:r>
          </w:p>
          <w:p w14:paraId="6B890FB6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Bazzi, </w:t>
            </w:r>
            <w:r>
              <w:rPr>
                <w:lang w:val="pt-BR"/>
              </w:rPr>
              <w:tab/>
              <w:t xml:space="preserve">M., </w:t>
            </w:r>
            <w:r>
              <w:rPr>
                <w:i/>
                <w:lang w:val="pt-BR"/>
              </w:rPr>
              <w:t>Abecedario Pittorico,</w:t>
            </w:r>
            <w:r>
              <w:rPr>
                <w:lang w:val="pt-BR"/>
              </w:rPr>
              <w:t xml:space="preserve"> Longanesi &amp; C. Milano, 1956</w:t>
            </w:r>
          </w:p>
          <w:p w14:paraId="490AEA39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Brandi, Cesaro, </w:t>
            </w:r>
            <w:r>
              <w:rPr>
                <w:i/>
                <w:lang w:val="pt-BR"/>
              </w:rPr>
              <w:t>Teoria restaurării,</w:t>
            </w:r>
            <w:r>
              <w:rPr>
                <w:lang w:val="pt-BR"/>
              </w:rPr>
              <w:t xml:space="preserve"> Editura Meridiane, Bucureşti, 1996</w:t>
            </w:r>
          </w:p>
          <w:p w14:paraId="4B057AE7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Ceanini, C. </w:t>
            </w:r>
            <w:r>
              <w:rPr>
                <w:i/>
                <w:lang w:val="pt-BR"/>
              </w:rPr>
              <w:t>Tratat de pictură</w:t>
            </w:r>
            <w:r>
              <w:rPr>
                <w:lang w:val="pt-BR"/>
              </w:rPr>
              <w:t>, Editura Meridiane, Bucureăti 1977</w:t>
            </w:r>
          </w:p>
          <w:p w14:paraId="629A6CD3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Dionisie din Furna, </w:t>
            </w:r>
            <w:r>
              <w:rPr>
                <w:i/>
                <w:lang w:val="pt-BR"/>
              </w:rPr>
              <w:t>Carte de pictură,</w:t>
            </w:r>
            <w:r>
              <w:rPr>
                <w:lang w:val="pt-BR"/>
              </w:rPr>
              <w:t xml:space="preserve"> Editura Meridiane, Bucureăti 1979</w:t>
            </w:r>
          </w:p>
          <w:p w14:paraId="243D4E1F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Ghenadie, </w:t>
            </w:r>
            <w:r>
              <w:rPr>
                <w:i/>
                <w:lang w:val="pt-BR"/>
              </w:rPr>
              <w:t>Iconografia. Arta de a zugrăvi biserici şi  icoane bisericeşti,</w:t>
            </w:r>
            <w:r>
              <w:rPr>
                <w:lang w:val="pt-BR"/>
              </w:rPr>
              <w:t xml:space="preserve"> Tipografia Cărţilor Bisericeşti, Bucureşti, 1903</w:t>
            </w:r>
          </w:p>
          <w:p w14:paraId="57E9621C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Hevel, Marc, </w:t>
            </w:r>
            <w:r>
              <w:rPr>
                <w:i/>
                <w:lang w:val="pt-BR"/>
              </w:rPr>
              <w:t>Tehnica tabloului</w:t>
            </w:r>
            <w:r>
              <w:rPr>
                <w:lang w:val="pt-BR"/>
              </w:rPr>
              <w:t>, Editura  Meridiane, Bucureăti 1980</w:t>
            </w:r>
          </w:p>
          <w:p w14:paraId="50B72C81" w14:textId="77777777" w:rsidR="00F21F5F" w:rsidRDefault="00000000">
            <w:pPr>
              <w:tabs>
                <w:tab w:val="left" w:pos="960"/>
              </w:tabs>
              <w:ind w:left="284"/>
              <w:jc w:val="both"/>
            </w:pPr>
            <w:r>
              <w:rPr>
                <w:lang w:val="pt-BR"/>
              </w:rPr>
              <w:tab/>
            </w:r>
            <w:r>
              <w:t xml:space="preserve">Horie, C. V., </w:t>
            </w:r>
            <w:r>
              <w:rPr>
                <w:i/>
              </w:rPr>
              <w:t>Materials for Conservation,</w:t>
            </w:r>
            <w:r>
              <w:t xml:space="preserve"> Butterworths, London</w:t>
            </w:r>
          </w:p>
          <w:p w14:paraId="7CE6D3B0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tab/>
            </w:r>
            <w:r>
              <w:rPr>
                <w:lang w:val="pt-BR"/>
              </w:rPr>
              <w:t xml:space="preserve">Istudor, Ioan, Ciobanu, Ghe., </w:t>
            </w:r>
            <w:r>
              <w:rPr>
                <w:i/>
                <w:lang w:val="pt-BR"/>
              </w:rPr>
              <w:t>Dispersii de caseinat de calciu folosite în conservarea picturilor murale în frescă şi tempera,</w:t>
            </w:r>
            <w:r>
              <w:rPr>
                <w:lang w:val="pt-BR"/>
              </w:rPr>
              <w:t xml:space="preserve"> în Cercetări de conservare şi restaurare 2, Muzeul Naţional de Istorie, Bucureşti,1982, pg. 127</w:t>
            </w:r>
          </w:p>
          <w:p w14:paraId="423C4B8C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Consideraţii tehnice asupra unor picturii murale din România (epocile antică, medieval şi modern)</w:t>
            </w:r>
            <w:r>
              <w:rPr>
                <w:lang w:val="pt-BR"/>
              </w:rPr>
              <w:t>, în Revista Monumentelor istorice, anul XXXII, nr. 1, 2001-2003, pp. 76-100</w:t>
            </w:r>
          </w:p>
          <w:p w14:paraId="795EF4A4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No</w:t>
            </w:r>
            <w:r>
              <w:rPr>
                <w:i/>
                <w:lang w:val="ro-RO"/>
              </w:rPr>
              <w:t>ţ</w:t>
            </w:r>
            <w:r>
              <w:rPr>
                <w:i/>
                <w:lang w:val="pt-BR"/>
              </w:rPr>
              <w:t>iuni de chimia picturii,</w:t>
            </w:r>
            <w:r>
              <w:rPr>
                <w:lang w:val="pt-BR"/>
              </w:rPr>
              <w:t xml:space="preserve"> Ed. DAIM PUBLISHING HOUSE, Bucuretşi, 2006</w:t>
            </w:r>
          </w:p>
          <w:p w14:paraId="066FCA10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Istudor, Ioan, U</w:t>
            </w:r>
            <w:r>
              <w:rPr>
                <w:i/>
                <w:lang w:val="pt-BR"/>
              </w:rPr>
              <w:t>n fenomen de denaturare a culorilor în picture murală de la Voroneţ,</w:t>
            </w:r>
            <w:r>
              <w:rPr>
                <w:lang w:val="pt-BR"/>
              </w:rPr>
              <w:t xml:space="preserve"> în Revista Muzeelor, II, nr. 1, 1965, pp. 65-66</w:t>
            </w:r>
          </w:p>
          <w:p w14:paraId="344741CC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Lăzărescu, L., </w:t>
            </w:r>
            <w:r>
              <w:rPr>
                <w:i/>
                <w:lang w:val="pt-BR"/>
              </w:rPr>
              <w:t>Pictura în ulei</w:t>
            </w:r>
            <w:r>
              <w:rPr>
                <w:lang w:val="pt-BR"/>
              </w:rPr>
              <w:t>, Editura Signal Plus, Deva, 1996</w:t>
            </w:r>
          </w:p>
          <w:p w14:paraId="255DD59A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Matteini, M.,Moles, A., </w:t>
            </w:r>
            <w:r>
              <w:rPr>
                <w:i/>
                <w:lang w:val="pt-BR"/>
              </w:rPr>
              <w:t>La chimica nel restauro,</w:t>
            </w:r>
            <w:r>
              <w:rPr>
                <w:lang w:val="pt-BR"/>
              </w:rPr>
              <w:t xml:space="preserve"> Nardini Editore, Firenze, 1989</w:t>
            </w:r>
          </w:p>
          <w:p w14:paraId="46A50C8C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Mihalcu, Mişu, </w:t>
            </w:r>
            <w:r>
              <w:rPr>
                <w:i/>
                <w:lang w:val="pt-BR"/>
              </w:rPr>
              <w:t>Conservarea operelorde artăşi a monumentelor istorice,</w:t>
            </w:r>
            <w:r>
              <w:rPr>
                <w:lang w:val="pt-BR"/>
              </w:rPr>
              <w:t xml:space="preserve"> Editura Ştiinţifică, Bucureşti, 1970</w:t>
            </w:r>
          </w:p>
          <w:p w14:paraId="79254790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Mihalcu, Mişu, Valori medieval româneşti, Editura Sport-turism, Bucureşti, 1984</w:t>
            </w:r>
          </w:p>
          <w:p w14:paraId="06546708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0C22E15D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6FC444A1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EA711BA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4DC93E91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672DB2F3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27B4711B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150B3A84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4CCE9692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1772BDB3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0683C9EE" w14:textId="77777777" w:rsidR="00F21F5F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056CF91C" w14:textId="77777777" w:rsidR="00F21F5F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09F1AD68" w14:textId="77777777" w:rsidR="00F21F5F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1C291942" w14:textId="77777777" w:rsidR="00F21F5F" w:rsidRDefault="00000000">
            <w:pPr>
              <w:jc w:val="both"/>
              <w:rPr>
                <w:sz w:val="28"/>
                <w:lang w:val="ro-RO"/>
              </w:rPr>
            </w:pPr>
            <w:r>
              <w:rPr>
                <w:lang w:val="ro-RO"/>
              </w:rPr>
              <w:t xml:space="preserve">Parker Th. A., </w:t>
            </w:r>
            <w:r>
              <w:rPr>
                <w:i/>
                <w:iCs/>
                <w:lang w:val="ro-RO"/>
              </w:rPr>
              <w:t>Study on integrated pest management for libraries and archives,</w:t>
            </w:r>
            <w:r>
              <w:rPr>
                <w:lang w:val="ro-RO"/>
              </w:rPr>
              <w:t>Paris, UNESCO, General Information Programme and UNISIST (PGI-88/WS/20), 1988, 119 p</w:t>
            </w:r>
          </w:p>
          <w:p w14:paraId="44B9F87E" w14:textId="77777777" w:rsidR="00F21F5F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Ioniţă I., </w:t>
            </w:r>
            <w:r>
              <w:rPr>
                <w:i/>
                <w:iCs/>
                <w:lang w:val="ro-RO"/>
              </w:rPr>
              <w:t xml:space="preserve">Cercetări privind biologia ciupercilor care produc biodeteriorarea operelor de artă şi monumentelor de cultură </w:t>
            </w:r>
            <w:r>
              <w:rPr>
                <w:lang w:val="ro-RO"/>
              </w:rPr>
              <w:t>(Teză de doctorat), Bucureşti, Institutul de Ştiinţe Biologice, 1974.</w:t>
            </w:r>
          </w:p>
          <w:p w14:paraId="0A1D17E6" w14:textId="77777777" w:rsidR="00F21F5F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Oprea F., </w:t>
            </w:r>
            <w:r>
              <w:rPr>
                <w:i/>
                <w:iCs/>
                <w:lang w:val="ro-RO"/>
              </w:rPr>
              <w:t>Aspecte ecologice ale biodeteriorării documentelor</w:t>
            </w:r>
            <w:r>
              <w:rPr>
                <w:lang w:val="ro-RO"/>
              </w:rPr>
              <w:t xml:space="preserve">, in: Ştiinţa şi Tehnica în Arhive (F. Oprea, red. coord.), Bucureşti, Direcţia Generală a Arhivelor statului &amp; Consiliul Naţional pentru Ştiinţă şi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252C7744" w14:textId="77777777" w:rsidR="00F21F5F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381CCF0F" w14:textId="77777777" w:rsidR="00F21F5F" w:rsidRDefault="00000000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</w:p>
          <w:p w14:paraId="41C61A68" w14:textId="77777777" w:rsidR="00F21F5F" w:rsidRDefault="00F21F5F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F21F5F" w14:paraId="41C61A6D" w14:textId="77777777">
        <w:trPr>
          <w:jc w:val="center"/>
        </w:trPr>
        <w:tc>
          <w:tcPr>
            <w:tcW w:w="5651" w:type="dxa"/>
          </w:tcPr>
          <w:p w14:paraId="41C61A6A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41C61A6B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F21F5F" w14:paraId="41C61A71" w14:textId="77777777">
        <w:trPr>
          <w:jc w:val="center"/>
        </w:trPr>
        <w:tc>
          <w:tcPr>
            <w:tcW w:w="5651" w:type="dxa"/>
            <w:shd w:val="clear" w:color="auto" w:fill="FFFFFF"/>
          </w:tcPr>
          <w:p w14:paraId="41C61A6E" w14:textId="77777777" w:rsidR="00F21F5F" w:rsidRDefault="00000000">
            <w:pPr>
              <w:shd w:val="clear" w:color="auto" w:fill="FFFFFF"/>
              <w:rPr>
                <w:lang w:val="ro-RO"/>
              </w:rPr>
            </w:pPr>
            <w:r>
              <w:rPr>
                <w:lang w:val="ro-RO"/>
              </w:rPr>
              <w:t>Completarea suportului de lemn al unei icoane</w:t>
            </w:r>
          </w:p>
        </w:tc>
        <w:tc>
          <w:tcPr>
            <w:tcW w:w="2396" w:type="dxa"/>
            <w:vMerge w:val="restart"/>
          </w:tcPr>
          <w:p w14:paraId="434FDF33" w14:textId="77777777" w:rsidR="00F21F5F" w:rsidRDefault="00000000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Lucrări de laborator,</w:t>
            </w:r>
            <w:r>
              <w:rPr>
                <w:sz w:val="22"/>
                <w:szCs w:val="22"/>
              </w:rPr>
              <w:t xml:space="preserve">Discuţii </w:t>
            </w:r>
          </w:p>
          <w:p w14:paraId="1B9222D1" w14:textId="77777777" w:rsidR="00F21F5F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1857" w:type="dxa"/>
          </w:tcPr>
          <w:p w14:paraId="41C61A70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4 ore</w:t>
            </w:r>
          </w:p>
        </w:tc>
      </w:tr>
      <w:tr w:rsidR="00F21F5F" w14:paraId="41C61A75" w14:textId="77777777">
        <w:trPr>
          <w:jc w:val="center"/>
        </w:trPr>
        <w:tc>
          <w:tcPr>
            <w:tcW w:w="5651" w:type="dxa"/>
            <w:shd w:val="clear" w:color="auto" w:fill="FFFFFF"/>
          </w:tcPr>
          <w:p w14:paraId="41C61A72" w14:textId="77777777" w:rsidR="00F21F5F" w:rsidRDefault="00000000">
            <w:pPr>
              <w:shd w:val="clear" w:color="auto" w:fill="FFFFFF"/>
              <w:rPr>
                <w:lang w:val="ro-RO"/>
              </w:rPr>
            </w:pPr>
            <w:r>
              <w:rPr>
                <w:lang w:val="ro-RO"/>
              </w:rPr>
              <w:t>Consolidarea suportului de lemn al unei icoane</w:t>
            </w:r>
          </w:p>
        </w:tc>
        <w:tc>
          <w:tcPr>
            <w:tcW w:w="2396" w:type="dxa"/>
            <w:vMerge/>
          </w:tcPr>
          <w:p w14:paraId="41C61A73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5 ore</w:t>
            </w:r>
          </w:p>
        </w:tc>
      </w:tr>
      <w:tr w:rsidR="00F21F5F" w14:paraId="41C61A79" w14:textId="77777777">
        <w:trPr>
          <w:trHeight w:val="305"/>
          <w:jc w:val="center"/>
        </w:trPr>
        <w:tc>
          <w:tcPr>
            <w:tcW w:w="5651" w:type="dxa"/>
            <w:shd w:val="clear" w:color="auto" w:fill="FFFFFF"/>
          </w:tcPr>
          <w:p w14:paraId="41C61A76" w14:textId="77777777" w:rsidR="00F21F5F" w:rsidRDefault="00000000">
            <w:pPr>
              <w:shd w:val="clear" w:color="auto" w:fill="FFFFFF"/>
              <w:rPr>
                <w:lang w:val="ro-RO"/>
              </w:rPr>
            </w:pPr>
            <w:r>
              <w:rPr>
                <w:lang w:val="ro-RO"/>
              </w:rPr>
              <w:t>Curățarea și decaparea stratului pictural al unei icoane</w:t>
            </w:r>
          </w:p>
        </w:tc>
        <w:tc>
          <w:tcPr>
            <w:tcW w:w="2396" w:type="dxa"/>
            <w:vMerge/>
          </w:tcPr>
          <w:p w14:paraId="41C61A77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5 ore</w:t>
            </w:r>
          </w:p>
        </w:tc>
      </w:tr>
      <w:tr w:rsidR="00F21F5F" w14:paraId="13BBAEF0" w14:textId="77777777">
        <w:trPr>
          <w:jc w:val="center"/>
        </w:trPr>
        <w:tc>
          <w:tcPr>
            <w:tcW w:w="5651" w:type="dxa"/>
          </w:tcPr>
          <w:p w14:paraId="2A8C92DE" w14:textId="77777777" w:rsidR="00F21F5F" w:rsidRDefault="00F21F5F">
            <w:pPr>
              <w:jc w:val="both"/>
              <w:rPr>
                <w:lang w:val="ro-RO"/>
              </w:rPr>
            </w:pPr>
          </w:p>
        </w:tc>
        <w:tc>
          <w:tcPr>
            <w:tcW w:w="2396" w:type="dxa"/>
          </w:tcPr>
          <w:p w14:paraId="6D9D52E0" w14:textId="77777777" w:rsidR="00F21F5F" w:rsidRDefault="00F21F5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ECBE570" w14:textId="77777777" w:rsidR="00F21F5F" w:rsidRDefault="00F21F5F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F21F5F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F21F5F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0308A830" w14:textId="1F6BF3B1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Ewa</w:t>
            </w:r>
            <w:r w:rsidR="00DF7A1F">
              <w:t xml:space="preserve"> </w:t>
            </w:r>
            <w:r>
              <w:t>Glos</w:t>
            </w:r>
            <w:r>
              <w:rPr>
                <w:b/>
                <w:bCs/>
              </w:rPr>
              <w:t xml:space="preserve">: </w:t>
            </w:r>
            <w:r>
              <w:rPr>
                <w:rStyle w:val="Accentuat"/>
              </w:rPr>
              <w:t>European Illustrated Glossary Of Conservation Terms For Wall Paintings And Architectural Surfaces, English definitions with translations into Bulgarian, Croatian, French, German, Hungarian, Italian, Polish, Romanian, Spanish and Turkish</w:t>
            </w:r>
            <w:r>
              <w:t>, edited by Angela Weyer, Pilar Roig Picazo, Daniel Pop, JoAnn Cassar, Aysun Özköse, Jean-Marc Vallet, Ivan Srša, Series of publications by the Hornemann Institute, Volume 17</w:t>
            </w:r>
          </w:p>
          <w:p w14:paraId="4FB4ADB1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Stanley Taft W., Mayer James W., </w:t>
            </w:r>
            <w:r>
              <w:rPr>
                <w:rStyle w:val="Accentuat"/>
              </w:rPr>
              <w:t>The Science of Paintings</w:t>
            </w:r>
            <w:r>
              <w:t>, Springer 2000</w:t>
            </w:r>
          </w:p>
          <w:p w14:paraId="62CA76FD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Istudor I</w:t>
            </w:r>
            <w:r>
              <w:rPr>
                <w:rStyle w:val="Accentuat"/>
              </w:rPr>
              <w:t>., Noțiuni de chimia picturii</w:t>
            </w:r>
            <w:r>
              <w:t>, editura ACS, 2011</w:t>
            </w:r>
          </w:p>
          <w:p w14:paraId="0BDFB790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shd w:val="clear" w:color="auto" w:fill="FFFFFF"/>
              </w:rPr>
              <w:t>- Dorge V.,  Howlett  F. C. (Eds)</w:t>
            </w:r>
            <w:r>
              <w:rPr>
                <w:rStyle w:val="Accentuat"/>
              </w:rPr>
              <w:t>, Painted wood: history and conservation</w:t>
            </w:r>
            <w:r>
              <w:t xml:space="preserve">, Getty Publications, 27 aug. 1998, disponibila pdf la pagina </w:t>
            </w:r>
            <w:hyperlink r:id="rId5" w:tgtFrame="_blank" w:history="1">
              <w:r w:rsidR="00F21F5F">
                <w:rPr>
                  <w:rStyle w:val="Hyperlink"/>
                  <w:color w:val="auto"/>
                  <w:u w:val="none"/>
                </w:rPr>
                <w:t>http://getty.edu/conservation/publications_resources/pdf_publications/paintedwood.html</w:t>
              </w:r>
            </w:hyperlink>
          </w:p>
          <w:p w14:paraId="342A431D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Dardes K., Rothe A. (Eds), </w:t>
            </w:r>
            <w:r>
              <w:rPr>
                <w:rStyle w:val="Accentuat"/>
              </w:rPr>
              <w:t>The Structural Conservation of Panel Paintings: Proceedings of a Symposium at the J. Paul Getty Museum</w:t>
            </w:r>
            <w:r>
              <w:t>, Getty Conservation Institute, 1998, disponibila la pagina http://www.getty.edu/conservation/publications_resources/pdf_publications/panelpaintings.html</w:t>
            </w:r>
          </w:p>
          <w:p w14:paraId="2EACA0D3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Cennino Cennini</w:t>
            </w:r>
            <w:r>
              <w:rPr>
                <w:i/>
                <w:iCs/>
              </w:rPr>
              <w:t>, Il Libro dell’Arte, disponibil</w:t>
            </w:r>
            <w:r>
              <w:t xml:space="preserve"> la http://www.noteaccess.com/Texts/Cennini/</w:t>
            </w:r>
          </w:p>
          <w:p w14:paraId="5B5693DB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Dionisie din Furna, (1979) </w:t>
            </w:r>
            <w:r>
              <w:rPr>
                <w:i/>
                <w:iCs/>
              </w:rPr>
              <w:t>Carte de pictura,</w:t>
            </w:r>
            <w:r>
              <w:t xml:space="preserve"> Ed. Meridiane, Bucuresti</w:t>
            </w:r>
          </w:p>
          <w:p w14:paraId="1B294520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Merrifield Mary P., (1999) </w:t>
            </w:r>
            <w:r>
              <w:rPr>
                <w:i/>
                <w:iCs/>
              </w:rPr>
              <w:t>Medieval and Renaissance Treatises on the Arts of Painting</w:t>
            </w:r>
            <w:r>
              <w:t xml:space="preserve"> : Original Texts With English Translations, Dover Publications, first edition</w:t>
            </w:r>
          </w:p>
          <w:p w14:paraId="10F8B61C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Thompson V. Daniel, </w:t>
            </w:r>
            <w:r>
              <w:rPr>
                <w:i/>
                <w:iCs/>
              </w:rPr>
              <w:t>The practice of tempera painting,</w:t>
            </w:r>
            <w:r>
              <w:t xml:space="preserve"> Dover publications, 1962</w:t>
            </w:r>
          </w:p>
          <w:p w14:paraId="004ECB05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</w:t>
            </w:r>
            <w:r>
              <w:rPr>
                <w:i/>
                <w:iCs/>
              </w:rPr>
              <w:t>Painted wood: history and conservation,</w:t>
            </w:r>
            <w:r>
              <w:t xml:space="preserve"> Editori Valerie Dorge, F. Carey Howlett, Getty Publications, 27 aug. 1998 – 552 pagini, disponibila pdf la pagina http://getty.edu/conservation/publications_resources/pdf_publications/paintedwood.html</w:t>
            </w:r>
          </w:p>
          <w:p w14:paraId="5FFEB7C8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lastRenderedPageBreak/>
              <w:t xml:space="preserve">- Doerner Max, (1992) </w:t>
            </w:r>
            <w:r>
              <w:rPr>
                <w:i/>
                <w:iCs/>
              </w:rPr>
              <w:t>Malmaterial und seine Vervendung im Bilde</w:t>
            </w:r>
            <w:r>
              <w:t>, Ferdinand Enke Verlag, Stuttgart</w:t>
            </w:r>
          </w:p>
          <w:p w14:paraId="71ACA13F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Bomford, David, Jill Dunkerton, Dillian Gordon, and Ashok Roy, (1989) </w:t>
            </w:r>
            <w:r>
              <w:rPr>
                <w:i/>
                <w:iCs/>
              </w:rPr>
              <w:t>Art in the Making:</w:t>
            </w:r>
            <w:r>
              <w:t xml:space="preserve"> </w:t>
            </w:r>
            <w:r>
              <w:rPr>
                <w:i/>
                <w:iCs/>
              </w:rPr>
              <w:t>Italian Painting before 1400</w:t>
            </w:r>
            <w:r>
              <w:t xml:space="preserve"> , London:National Gallery Publications</w:t>
            </w:r>
          </w:p>
          <w:p w14:paraId="175181D9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Jileen Nadolny ICOM-CC Preprints, 15th Triennial Meeting, New Delhi, 22-26 September 2008 (2 volumes), Chapter: </w:t>
            </w:r>
            <w:r>
              <w:rPr>
                <w:i/>
                <w:iCs/>
              </w:rPr>
              <w:t xml:space="preserve">One craft, many names: gilders, preparers, and polychrome painters in the 15th and 16th centuries, </w:t>
            </w:r>
            <w:r>
              <w:t>Publisher: ICOM-CC / Allied Publishers, Editors: J. Bridgeland, pp.Vol. 1, pp. 10-17</w:t>
            </w:r>
          </w:p>
          <w:p w14:paraId="70F3131D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Sandu , Irina Crina Anca, Sandu, Ioan, Popoiu, Paula, Donezé van Saanen, </w:t>
            </w:r>
            <w:r>
              <w:rPr>
                <w:i/>
                <w:iCs/>
              </w:rPr>
              <w:t>Aspecte metodologice privind conservarea ştiinţifică a patrimoniului cultural,</w:t>
            </w:r>
            <w:r>
              <w:t xml:space="preserve"> Editura Corson, Iaşi, 2001</w:t>
            </w:r>
          </w:p>
          <w:p w14:paraId="22354E20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http://www.woodanatomy.ch/</w:t>
            </w:r>
          </w:p>
          <w:p w14:paraId="4E8CFA36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http://closertovaneyck.kikirpa.be/</w:t>
            </w:r>
          </w:p>
          <w:p w14:paraId="639A2C3A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http://www.conservation-wiki.com/w/index.php?title=Paintings</w:t>
            </w:r>
          </w:p>
          <w:p w14:paraId="25443EEC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Technologia Artis https://technologiaartis.avu.cz/a_2vse-studie-techn.html</w:t>
            </w:r>
          </w:p>
          <w:p w14:paraId="214DA551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https://en.wikipedia.org/wiki/Peter_Paul_Rubens</w:t>
            </w:r>
          </w:p>
          <w:p w14:paraId="430A92DB" w14:textId="77777777" w:rsidR="00F21F5F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http://www.oil-painting-techniques.com/analysis-peter-paul-rubens.html</w:t>
            </w:r>
          </w:p>
          <w:p w14:paraId="2CD540E5" w14:textId="77777777" w:rsidR="00F21F5F" w:rsidRDefault="00F21F5F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535589B7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77777777" w:rsidR="00F21F5F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Style w:val="Style32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91"/>
      </w:tblGrid>
      <w:tr w:rsidR="00F21F5F" w14:paraId="41C61AB1" w14:textId="77777777">
        <w:trPr>
          <w:jc w:val="center"/>
        </w:trPr>
        <w:tc>
          <w:tcPr>
            <w:tcW w:w="9791" w:type="dxa"/>
          </w:tcPr>
          <w:p w14:paraId="41C61AB0" w14:textId="77777777" w:rsidR="00F21F5F" w:rsidRDefault="00F21F5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7777777" w:rsidR="00F21F5F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9. Evaluare</w:t>
      </w:r>
    </w:p>
    <w:p w14:paraId="41C61AB4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33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3402"/>
        <w:gridCol w:w="1985"/>
        <w:gridCol w:w="2126"/>
      </w:tblGrid>
      <w:tr w:rsidR="00F21F5F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41C61AB7" w14:textId="77777777" w:rsidR="00F21F5F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41C61AB8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F21F5F" w14:paraId="41C61AC0" w14:textId="77777777">
        <w:trPr>
          <w:jc w:val="center"/>
        </w:trPr>
        <w:tc>
          <w:tcPr>
            <w:tcW w:w="2566" w:type="dxa"/>
          </w:tcPr>
          <w:p w14:paraId="41C61ABA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scris</w:t>
            </w:r>
          </w:p>
        </w:tc>
        <w:tc>
          <w:tcPr>
            <w:tcW w:w="2126" w:type="dxa"/>
          </w:tcPr>
          <w:p w14:paraId="41C61ABF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F21F5F" w14:paraId="41C61AC5" w14:textId="77777777">
        <w:trPr>
          <w:jc w:val="center"/>
        </w:trPr>
        <w:tc>
          <w:tcPr>
            <w:tcW w:w="2566" w:type="dxa"/>
          </w:tcPr>
          <w:p w14:paraId="41C61AC1" w14:textId="77777777" w:rsidR="00F21F5F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77777777" w:rsidR="00F21F5F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41C61AC4" w14:textId="77777777" w:rsidR="00F21F5F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F21F5F" w14:paraId="41C61ACD" w14:textId="77777777">
        <w:trPr>
          <w:jc w:val="center"/>
        </w:trPr>
        <w:tc>
          <w:tcPr>
            <w:tcW w:w="2566" w:type="dxa"/>
          </w:tcPr>
          <w:p w14:paraId="41C61ACB" w14:textId="77777777" w:rsidR="00F21F5F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7777777" w:rsidR="00F21F5F" w:rsidRDefault="00F21F5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F21F5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77777777" w:rsidR="00F21F5F" w:rsidRDefault="00F21F5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F21F5F" w:rsidRDefault="00F21F5F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F21F5F" w:rsidRDefault="00F21F5F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Style34"/>
        <w:tblW w:w="10188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2185"/>
        <w:gridCol w:w="4475"/>
        <w:gridCol w:w="3528"/>
      </w:tblGrid>
      <w:tr w:rsidR="00F21F5F" w14:paraId="41C61ADA" w14:textId="77777777">
        <w:tc>
          <w:tcPr>
            <w:tcW w:w="2185" w:type="dxa"/>
          </w:tcPr>
          <w:p w14:paraId="41C61AD4" w14:textId="77777777" w:rsidR="00F21F5F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F21F5F" w:rsidRDefault="00F21F5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F21F5F" w:rsidRDefault="00000000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7777777" w:rsidR="00F21F5F" w:rsidRDefault="00F21F5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F21F5F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7777777" w:rsidR="00F21F5F" w:rsidRDefault="00F21F5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F21F5F" w14:paraId="41C61ADE" w14:textId="77777777">
        <w:tc>
          <w:tcPr>
            <w:tcW w:w="2185" w:type="dxa"/>
          </w:tcPr>
          <w:p w14:paraId="41C61ADB" w14:textId="078F32A4" w:rsidR="00F21F5F" w:rsidRDefault="00D751A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D751A0"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C" w14:textId="77777777" w:rsidR="00F21F5F" w:rsidRDefault="00F21F5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F21F5F" w:rsidRDefault="00F21F5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F21F5F" w14:paraId="41C61AE4" w14:textId="77777777">
        <w:tc>
          <w:tcPr>
            <w:tcW w:w="2185" w:type="dxa"/>
          </w:tcPr>
          <w:p w14:paraId="41C61ADF" w14:textId="77777777" w:rsidR="00F21F5F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217DBB43" w:rsidR="00F21F5F" w:rsidRDefault="00A83F6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F21F5F" w:rsidRDefault="00F21F5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F21F5F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F21F5F" w:rsidRDefault="00F21F5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F21F5F" w:rsidRDefault="00F21F5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F21F5F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121237"/>
    <w:rsid w:val="00180A04"/>
    <w:rsid w:val="00187B2B"/>
    <w:rsid w:val="001A1019"/>
    <w:rsid w:val="001C5CC6"/>
    <w:rsid w:val="00226041"/>
    <w:rsid w:val="002437FE"/>
    <w:rsid w:val="002870C9"/>
    <w:rsid w:val="002F2D2E"/>
    <w:rsid w:val="0031490C"/>
    <w:rsid w:val="00367652"/>
    <w:rsid w:val="003A7304"/>
    <w:rsid w:val="003B16A6"/>
    <w:rsid w:val="003B2038"/>
    <w:rsid w:val="003F71EF"/>
    <w:rsid w:val="00434683"/>
    <w:rsid w:val="004630DA"/>
    <w:rsid w:val="0046552F"/>
    <w:rsid w:val="00536603"/>
    <w:rsid w:val="00561814"/>
    <w:rsid w:val="005B58D1"/>
    <w:rsid w:val="00605227"/>
    <w:rsid w:val="006B32F7"/>
    <w:rsid w:val="006F4B61"/>
    <w:rsid w:val="0070737A"/>
    <w:rsid w:val="00715F9E"/>
    <w:rsid w:val="00760959"/>
    <w:rsid w:val="00786769"/>
    <w:rsid w:val="007E3983"/>
    <w:rsid w:val="0083648E"/>
    <w:rsid w:val="008468C5"/>
    <w:rsid w:val="00866FA7"/>
    <w:rsid w:val="008D1CE0"/>
    <w:rsid w:val="008F45FE"/>
    <w:rsid w:val="009102FD"/>
    <w:rsid w:val="00997E54"/>
    <w:rsid w:val="009B67FB"/>
    <w:rsid w:val="009C06D1"/>
    <w:rsid w:val="00A16296"/>
    <w:rsid w:val="00A16FE4"/>
    <w:rsid w:val="00A5457D"/>
    <w:rsid w:val="00A55528"/>
    <w:rsid w:val="00A83F6C"/>
    <w:rsid w:val="00AF17E2"/>
    <w:rsid w:val="00B945B0"/>
    <w:rsid w:val="00BA5DB9"/>
    <w:rsid w:val="00BC7FEF"/>
    <w:rsid w:val="00BD1D5B"/>
    <w:rsid w:val="00BD4C3B"/>
    <w:rsid w:val="00BE586F"/>
    <w:rsid w:val="00C344A8"/>
    <w:rsid w:val="00CF1606"/>
    <w:rsid w:val="00D37001"/>
    <w:rsid w:val="00D52FAB"/>
    <w:rsid w:val="00D751A0"/>
    <w:rsid w:val="00DF7A1F"/>
    <w:rsid w:val="00E22E97"/>
    <w:rsid w:val="00F21F5F"/>
    <w:rsid w:val="00F458BB"/>
    <w:rsid w:val="00FF55A1"/>
    <w:rsid w:val="15D6713E"/>
    <w:rsid w:val="1BD87951"/>
    <w:rsid w:val="31940A31"/>
    <w:rsid w:val="382E64B5"/>
    <w:rsid w:val="3987427C"/>
    <w:rsid w:val="43AF6539"/>
    <w:rsid w:val="47DD4868"/>
    <w:rsid w:val="4E65313F"/>
    <w:rsid w:val="62AC0766"/>
    <w:rsid w:val="68B4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B6E25"/>
  <w15:docId w15:val="{8E0AA9D3-902E-4835-B242-09145D7A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Indentcorptext">
    <w:name w:val="Body Text Indent"/>
    <w:basedOn w:val="Normal"/>
    <w:qFormat/>
    <w:pPr>
      <w:ind w:left="1440"/>
    </w:pPr>
    <w:rPr>
      <w:rFonts w:ascii="Arial" w:hAnsi="Arial"/>
      <w:szCs w:val="20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qFormat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Dat">
    <w:name w:val="Date"/>
    <w:basedOn w:val="Normal"/>
    <w:next w:val="Normal"/>
    <w:qFormat/>
  </w:style>
  <w:style w:type="character" w:styleId="Accentuat">
    <w:name w:val="Emphasis"/>
    <w:uiPriority w:val="20"/>
    <w:qFormat/>
    <w:rPr>
      <w:i/>
      <w:iCs/>
    </w:rPr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/>
    </w:pPr>
    <w:rPr>
      <w:lang w:eastAsia="en-US"/>
    </w:rPr>
  </w:style>
  <w:style w:type="paragraph" w:styleId="Textsimplu">
    <w:name w:val="Plain Text"/>
    <w:basedOn w:val="Normal"/>
    <w:link w:val="TextsimpluCaracter"/>
    <w:unhideWhenUsed/>
    <w:qFormat/>
    <w:rPr>
      <w:rFonts w:ascii="Calibri" w:eastAsia="Calibri" w:hAnsi="Calibri"/>
      <w:sz w:val="22"/>
      <w:szCs w:val="21"/>
      <w:lang w:eastAsia="en-US"/>
    </w:rPr>
  </w:style>
  <w:style w:type="character" w:styleId="Robust">
    <w:name w:val="Strong"/>
    <w:qFormat/>
    <w:rPr>
      <w:b/>
      <w:bCs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gril">
    <w:name w:val="Table Grid"/>
    <w:basedOn w:val="Tabel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simpluCaracter">
    <w:name w:val="Text simplu Caracter"/>
    <w:link w:val="Textsimplu"/>
    <w:qFormat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qFormat/>
  </w:style>
  <w:style w:type="character" w:customStyle="1" w:styleId="graytext">
    <w:name w:val="graytext"/>
    <w:basedOn w:val="Fontdeparagrafimplicit"/>
    <w:qFormat/>
  </w:style>
  <w:style w:type="paragraph" w:customStyle="1" w:styleId="CharChar1CharCharCharCharCharCharChar">
    <w:name w:val="Char Char1 Char Char Char Char Char Char Char"/>
    <w:basedOn w:val="Normal"/>
    <w:qFormat/>
    <w:rPr>
      <w:lang w:val="pl-PL" w:eastAsia="pl-PL"/>
    </w:rPr>
  </w:style>
  <w:style w:type="character" w:customStyle="1" w:styleId="CorptextCaracter">
    <w:name w:val="Corp text Caracter"/>
    <w:link w:val="Corptext"/>
    <w:uiPriority w:val="99"/>
    <w:semiHidden/>
    <w:qFormat/>
    <w:rPr>
      <w:sz w:val="24"/>
      <w:szCs w:val="24"/>
      <w:lang w:eastAsia="zh-CN"/>
    </w:rPr>
  </w:style>
  <w:style w:type="table" w:customStyle="1" w:styleId="Style24">
    <w:name w:val="_Style 24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8">
    <w:name w:val="_Style 28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9">
    <w:name w:val="_Style 29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0">
    <w:name w:val="_Style 30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1">
    <w:name w:val="_Style 31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2">
    <w:name w:val="_Style 32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elNormal"/>
    <w:qFormat/>
    <w:tblPr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qFormat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sz w:val="20"/>
      <w:szCs w:val="20"/>
      <w:lang w:val="en-US" w:eastAsia="zh-CN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  <w:lang w:val="en-US" w:eastAsia="zh-CN"/>
    </w:rPr>
  </w:style>
  <w:style w:type="table" w:customStyle="1" w:styleId="1">
    <w:name w:val="1"/>
    <w:basedOn w:val="Tabel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getty.edu/conservation/publications_resources/pdf_publications/paintedwood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2116</Words>
  <Characters>12066</Characters>
  <Application>Microsoft Office Word</Application>
  <DocSecurity>0</DocSecurity>
  <Lines>100</Lines>
  <Paragraphs>28</Paragraphs>
  <ScaleCrop>false</ScaleCrop>
  <Company/>
  <LinksUpToDate>false</LinksUpToDate>
  <CharactersWithSpaces>14154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11</cp:revision>
  <dcterms:created xsi:type="dcterms:W3CDTF">2025-03-20T07:27:00Z</dcterms:created>
  <dcterms:modified xsi:type="dcterms:W3CDTF">2025-12-09T10:44:00Z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F2DCA9DC3AA34F61B20C2A92060DA8A4_12</vt:lpwstr>
  </property>
</Properties>
</file>